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4c2a5795da292af695b4f47d39eefd75a8670"/>
    <w:p>
      <w:pPr>
        <w:pStyle w:val="Heading3"/>
      </w:pPr>
      <w:r>
        <w:t xml:space="preserve">Положение о Комиссии по соблюдению требований к служебному поведению государственных гражданских служащих управы района Северное Бутово города Москвы и урегулированию конфликта интересов</w:t>
      </w:r>
    </w:p>
    <w:p>
      <w:pPr>
        <w:pStyle w:val="FirstParagraph"/>
      </w:pPr>
      <w:r>
        <w:t xml:space="preserve">17.04.2018</w:t>
      </w:r>
    </w:p>
    <w:p>
      <w:pPr>
        <w:pStyle w:val="BodyText"/>
      </w:pPr>
      <w:hyperlink r:id="rId20">
        <w:r>
          <w:rPr>
            <w:rStyle w:val="Hyperlink"/>
          </w:rPr>
          <w:t xml:space="preserve">Положение о Комиссии по соблюдению требований к служебному поведению государственных гражданских служащих управы района Северное Бутово города Москвы и урегулированию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http://sevbutovo.mos.ru/anti-corruption/the-commission-for-observance-of-requirements-for-the-official-behaviour-of-state-civil-employees-of/detail/7271233.html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86;&#1083;&#1086;&#1078;&#1077;&#1085;&#1080;&#1103;%20&#1086;%20&#1050;&#1086;&#1084;&#1080;&#1089;&#1089;&#1080;&#1080;&#1057;&#1041;.docx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the-commission-for-observance-of-requirements-for-the-official-behaviour-of-state-civil-employees-of/detail/7271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86;&#1083;&#1086;&#1078;&#1077;&#1085;&#1080;&#1103;%20&#1086;%20&#1050;&#1086;&#1084;&#1080;&#1089;&#1089;&#1080;&#1080;&#1057;&#1041;.docx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the-commission-for-observance-of-requirements-for-the-official-behaviour-of-state-civil-employees-of/detail/7271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2025-03-22T21:39:06Z</dcterms:created>
  <dcterms:modified xsi:type="dcterms:W3CDTF">2025-03-22T21:39:06Z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