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cb0f3b71983887981449f85b76beb49cd6baa"/>
    <w:p>
      <w:pPr>
        <w:pStyle w:val="Heading3"/>
      </w:pPr>
      <w:r>
        <w:t xml:space="preserve">Молодежная палата района Северное Бутово участвовала в собрании «Мастер слова»</w:t>
      </w:r>
    </w:p>
    <w:p>
      <w:pPr>
        <w:pStyle w:val="FirstParagraph"/>
      </w:pPr>
      <w:r>
        <w:t xml:space="preserve">18.02.2019</w:t>
      </w:r>
    </w:p>
    <w:p>
      <w:pPr>
        <w:pStyle w:val="BodyText"/>
      </w:pPr>
      <w:r>
        <w:t xml:space="preserve">Молодежная палата района Северное Бутово приняла участие в собрании по реализации проекта Молодежного парламента «Мастер слова», чтобы вместе определить план действий на грядущие школьные дебаты. Скоро будет очень интересно.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http://sevbutovo.mos.ru/junior-chamber/detail/7893410.html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junior-chamber/detail/7893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junior-chamber/detail/7893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2025-07-29T19:11:34Z</dcterms:created>
  <dcterms:modified xsi:type="dcterms:W3CDTF">2025-07-29T19:11:34Z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