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f165a5fee63de9123b3d50f9ba646a01383170"/>
    <w:p>
      <w:pPr>
        <w:pStyle w:val="Heading3"/>
      </w:pPr>
      <w:r>
        <w:t xml:space="preserve">Беззаявительный порядок представления физ. лицам льгот по имущественным налогам</w:t>
      </w:r>
    </w:p>
    <w:p>
      <w:pPr>
        <w:pStyle w:val="FirstParagraph"/>
      </w:pPr>
      <w:r>
        <w:t xml:space="preserve">13.02.2025</w:t>
      </w:r>
    </w:p>
    <w:p>
      <w:pPr>
        <w:pStyle w:val="BodyText"/>
      </w:pPr>
      <w:r>
        <w:t xml:space="preserve">Для отдельных категорий граждан, указанных в подпунктах 2, 3, 10, 10.1, 12, 15 пункта 1 статьи 407, подпунктах 2 - 4, 7 - 10 пункта 5 статьи 391 Налогового кодекса Российской Федерации 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детей, ветераны боевых действий), Законе г. Москвы от 09.07.2008 № 33 «О транспортном налоге» ( в том числе ветераны боевых действий, инвалиды боевых действий и инвалиды I и II групп) 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налогу, налоговых льгот по транспортному налогу.</w:t>
      </w:r>
      <w:r>
        <w:br/>
      </w:r>
      <w:r>
        <w:br/>
      </w: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  <w:r>
        <w:br/>
      </w:r>
      <w:r>
        <w:br/>
      </w: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  <w:r>
        <w:br/>
      </w:r>
      <w:r>
        <w:br/>
      </w: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  <w:r>
        <w:br/>
      </w:r>
      <w:r>
        <w:br/>
      </w: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  <w:r>
        <w:br/>
      </w:r>
      <w:r>
        <w:br/>
      </w: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  <w:r>
        <w:br/>
      </w:r>
      <w:r>
        <w:br/>
      </w: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  <w:r>
        <w:br/>
      </w:r>
      <w:r>
        <w:br/>
      </w: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2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http://sevbutovo.mos.ru/presscenter/news/detail/12806710.html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2806710.html" TargetMode="External" /><Relationship Type="http://schemas.openxmlformats.org/officeDocument/2006/relationships/hyperlink" Id="rId20" Target="http://www.nalog.gov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2806710.html" TargetMode="External" /><Relationship Type="http://schemas.openxmlformats.org/officeDocument/2006/relationships/hyperlink" Id="rId20" Target="http://www.nalog.gov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2025-02-13T11:45:25Z</dcterms:created>
  <dcterms:modified xsi:type="dcterms:W3CDTF">2025-02-13T11:45:25Z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